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1" w:rsidRDefault="005707B2" w:rsidP="00A617D1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sz w:val="40"/>
          <w:szCs w:val="40"/>
        </w:rPr>
      </w:pPr>
      <w:r>
        <w:rPr>
          <w:rFonts w:ascii="inherit" w:hAnsi="inherit"/>
          <w:b/>
          <w:color w:val="212121"/>
          <w:sz w:val="40"/>
          <w:szCs w:val="40"/>
        </w:rPr>
        <w:t>Kindergarten</w:t>
      </w:r>
      <w:r w:rsidR="00A617D1" w:rsidRPr="00E17268">
        <w:rPr>
          <w:rFonts w:ascii="inherit" w:hAnsi="inherit"/>
          <w:b/>
          <w:color w:val="212121"/>
          <w:sz w:val="40"/>
          <w:szCs w:val="40"/>
        </w:rPr>
        <w:t xml:space="preserve"> Vocabulario </w:t>
      </w:r>
      <w:r w:rsidR="00A617D1">
        <w:rPr>
          <w:rFonts w:ascii="inherit" w:hAnsi="inherit"/>
          <w:b/>
          <w:color w:val="212121"/>
          <w:sz w:val="40"/>
          <w:szCs w:val="40"/>
        </w:rPr>
        <w:t xml:space="preserve">de </w:t>
      </w:r>
      <w:r w:rsidR="00A617D1" w:rsidRPr="00E17268">
        <w:rPr>
          <w:rFonts w:ascii="inherit" w:hAnsi="inherit"/>
          <w:b/>
          <w:color w:val="212121"/>
          <w:sz w:val="40"/>
          <w:szCs w:val="40"/>
        </w:rPr>
        <w:t xml:space="preserve">Matemáticas </w:t>
      </w:r>
    </w:p>
    <w:p w:rsidR="005707B2" w:rsidRDefault="005707B2" w:rsidP="00A617D1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5156"/>
      </w:tblGrid>
      <w:tr w:rsidR="001E10CB" w:rsidRPr="001E10CB" w:rsidTr="001E10CB">
        <w:tc>
          <w:tcPr>
            <w:tcW w:w="15156" w:type="dxa"/>
          </w:tcPr>
          <w:p w:rsidR="001E10CB" w:rsidRPr="001E10CB" w:rsidRDefault="001E10CB" w:rsidP="00A617D1">
            <w:pPr>
              <w:pStyle w:val="HTMLPreformatted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1E10CB">
              <w:rPr>
                <w:rFonts w:ascii="Comic Sans MS" w:hAnsi="Comic Sans MS"/>
                <w:sz w:val="24"/>
                <w:szCs w:val="24"/>
                <w:lang w:val="es-ES"/>
              </w:rPr>
              <w:t>Conteo y números cardinales (K.CC)</w:t>
            </w:r>
          </w:p>
        </w:tc>
      </w:tr>
      <w:tr w:rsidR="001E10CB" w:rsidRPr="001E10CB" w:rsidTr="001E10CB">
        <w:trPr>
          <w:trHeight w:val="1880"/>
        </w:trPr>
        <w:tc>
          <w:tcPr>
            <w:tcW w:w="15156" w:type="dxa"/>
          </w:tcPr>
          <w:p w:rsidR="001E10CB" w:rsidRPr="001E10CB" w:rsidRDefault="001E10CB" w:rsidP="001E10CB">
            <w:pPr>
              <w:pStyle w:val="HTMLPreformatted"/>
              <w:tabs>
                <w:tab w:val="clear" w:pos="916"/>
                <w:tab w:val="left" w:pos="450"/>
              </w:tabs>
              <w:rPr>
                <w:rFonts w:asciiTheme="minorHAnsi" w:hAnsiTheme="minorHAnsi"/>
                <w:b/>
                <w:lang w:val="es-ES"/>
              </w:rPr>
            </w:pPr>
            <w:r w:rsidRPr="001E10CB">
              <w:rPr>
                <w:rFonts w:asciiTheme="minorHAnsi" w:hAnsiTheme="minorHAnsi"/>
                <w:b/>
                <w:lang w:val="es-ES"/>
              </w:rPr>
              <w:t>•</w:t>
            </w:r>
            <w:r w:rsidRPr="001E10CB">
              <w:rPr>
                <w:rFonts w:asciiTheme="minorHAnsi" w:hAnsiTheme="minorHAnsi"/>
                <w:b/>
                <w:lang w:val="es-ES"/>
              </w:rPr>
              <w:tab/>
              <w:t xml:space="preserve"> Conocen los nombres de los números y la secuencia</w:t>
            </w:r>
            <w:r>
              <w:rPr>
                <w:rFonts w:asciiTheme="minorHAnsi" w:hAnsiTheme="minorHAnsi"/>
                <w:b/>
                <w:lang w:val="es-ES"/>
              </w:rPr>
              <w:t xml:space="preserve"> </w:t>
            </w:r>
            <w:r w:rsidRPr="001E10CB">
              <w:rPr>
                <w:rFonts w:asciiTheme="minorHAnsi" w:hAnsiTheme="minorHAnsi"/>
                <w:b/>
                <w:lang w:val="es-ES"/>
              </w:rPr>
              <w:t>de conteo.</w:t>
            </w:r>
          </w:p>
          <w:p w:rsidR="001E10CB" w:rsidRPr="001E10CB" w:rsidRDefault="001E10CB" w:rsidP="001E10CB">
            <w:pPr>
              <w:pStyle w:val="HTMLPreformatted"/>
              <w:tabs>
                <w:tab w:val="clear" w:pos="916"/>
                <w:tab w:val="left" w:pos="450"/>
              </w:tabs>
              <w:rPr>
                <w:rFonts w:asciiTheme="minorHAnsi" w:hAnsiTheme="minorHAnsi"/>
                <w:b/>
                <w:lang w:val="es-ES"/>
              </w:rPr>
            </w:pPr>
            <w:r w:rsidRPr="001E10CB">
              <w:rPr>
                <w:rFonts w:asciiTheme="minorHAnsi" w:hAnsiTheme="minorHAnsi"/>
                <w:b/>
                <w:lang w:val="es-ES"/>
              </w:rPr>
              <w:t>•</w:t>
            </w:r>
            <w:r w:rsidRPr="001E10CB">
              <w:rPr>
                <w:rFonts w:asciiTheme="minorHAnsi" w:hAnsiTheme="minorHAnsi"/>
                <w:b/>
                <w:lang w:val="es-ES"/>
              </w:rPr>
              <w:tab/>
              <w:t xml:space="preserve"> Cuentan objetos para determinar la cantidad.</w:t>
            </w:r>
          </w:p>
          <w:p w:rsidR="001E10CB" w:rsidRDefault="001E10CB" w:rsidP="001E10CB">
            <w:pPr>
              <w:pStyle w:val="HTMLPreformatted"/>
              <w:tabs>
                <w:tab w:val="clear" w:pos="916"/>
                <w:tab w:val="left" w:pos="450"/>
              </w:tabs>
              <w:rPr>
                <w:rFonts w:asciiTheme="minorHAnsi" w:hAnsiTheme="minorHAnsi"/>
                <w:b/>
                <w:lang w:val="es-ES"/>
              </w:rPr>
            </w:pPr>
            <w:r w:rsidRPr="001E10CB">
              <w:rPr>
                <w:rFonts w:asciiTheme="minorHAnsi" w:hAnsiTheme="minorHAnsi"/>
                <w:b/>
                <w:lang w:val="es-ES"/>
              </w:rPr>
              <w:t>•</w:t>
            </w:r>
            <w:r w:rsidRPr="001E10CB">
              <w:rPr>
                <w:rFonts w:asciiTheme="minorHAnsi" w:hAnsiTheme="minorHAnsi"/>
                <w:b/>
                <w:lang w:val="es-ES"/>
              </w:rPr>
              <w:tab/>
              <w:t xml:space="preserve"> Comparan números.</w:t>
            </w:r>
          </w:p>
          <w:p w:rsidR="001E10CB" w:rsidRDefault="001E10CB" w:rsidP="001E10CB">
            <w:pPr>
              <w:pStyle w:val="HTMLPreformatted"/>
              <w:tabs>
                <w:tab w:val="clear" w:pos="916"/>
                <w:tab w:val="left" w:pos="450"/>
              </w:tabs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  <w:p w:rsidR="001E10CB" w:rsidRPr="001E10CB" w:rsidRDefault="001E10CB" w:rsidP="00D32E0A">
            <w:pPr>
              <w:pStyle w:val="HTMLPreformatted"/>
              <w:tabs>
                <w:tab w:val="clear" w:pos="916"/>
                <w:tab w:val="left" w:pos="450"/>
              </w:tabs>
              <w:rPr>
                <w:rFonts w:ascii="Comic Sans MS" w:hAnsi="Comic Sans MS"/>
                <w:sz w:val="40"/>
                <w:szCs w:val="40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Número, uno más, nombres de los números </w:t>
            </w:r>
            <w:r w:rsidR="00D32E0A">
              <w:rPr>
                <w:rFonts w:asciiTheme="minorHAnsi" w:hAnsiTheme="minorHAnsi"/>
                <w:sz w:val="24"/>
                <w:szCs w:val="24"/>
                <w:lang w:val="es-ES"/>
              </w:rPr>
              <w:t>0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-100, cantidad, contar hacia delante, hacia atrás, dígito, ¿Cuántos?, más grande que, más, menos, igual, la misma cantidad, compara.</w:t>
            </w:r>
          </w:p>
        </w:tc>
      </w:tr>
    </w:tbl>
    <w:p w:rsidR="00991C9B" w:rsidRPr="001E10CB" w:rsidRDefault="00991C9B" w:rsidP="00A617D1">
      <w:pPr>
        <w:pStyle w:val="HTMLPreformatted"/>
        <w:shd w:val="clear" w:color="auto" w:fill="FFFFFF"/>
        <w:jc w:val="center"/>
        <w:rPr>
          <w:rFonts w:ascii="Comic Sans MS" w:hAnsi="Comic Sans MS"/>
          <w:sz w:val="40"/>
          <w:szCs w:val="40"/>
          <w:lang w:val="es-ES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840"/>
        <w:gridCol w:w="7488"/>
      </w:tblGrid>
      <w:tr w:rsidR="00A617D1" w:rsidRPr="001E0D64" w:rsidTr="00A617D1">
        <w:trPr>
          <w:trHeight w:val="602"/>
        </w:trPr>
        <w:tc>
          <w:tcPr>
            <w:tcW w:w="6840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Operaciones y pensamiento algebraico (OA)</w:t>
            </w:r>
          </w:p>
        </w:tc>
        <w:tc>
          <w:tcPr>
            <w:tcW w:w="7488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Números y operaciones en base diez (NBT)</w:t>
            </w:r>
          </w:p>
        </w:tc>
      </w:tr>
      <w:tr w:rsidR="00A617D1" w:rsidRPr="001E0D64" w:rsidTr="009B4731">
        <w:trPr>
          <w:trHeight w:val="1871"/>
        </w:trPr>
        <w:tc>
          <w:tcPr>
            <w:tcW w:w="6840" w:type="dxa"/>
          </w:tcPr>
          <w:p w:rsidR="001E10CB" w:rsidRPr="001E10CB" w:rsidRDefault="001E10CB" w:rsidP="001E10C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1E10CB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1E10CB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Entienden la suma como juntar y agregar, y entienden</w:t>
            </w:r>
          </w:p>
          <w:p w:rsidR="007A2EB0" w:rsidRDefault="001E10CB" w:rsidP="001E10C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1E10CB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la resta como separar y quitar</w:t>
            </w:r>
          </w:p>
          <w:p w:rsidR="001E10CB" w:rsidRPr="00A617D1" w:rsidRDefault="001E10CB" w:rsidP="001E10CB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617D1" w:rsidRPr="00A617D1" w:rsidRDefault="00A617D1" w:rsidP="001E10CB">
            <w:pPr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Sumar, restar, juntar, </w:t>
            </w:r>
            <w:r w:rsidRPr="00A617D1">
              <w:rPr>
                <w:sz w:val="24"/>
                <w:szCs w:val="24"/>
                <w:lang w:val="es-ES"/>
              </w:rPr>
              <w:t>menos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menos que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igual a/que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sustraer</w:t>
            </w:r>
            <w:r>
              <w:rPr>
                <w:sz w:val="24"/>
                <w:szCs w:val="24"/>
                <w:lang w:val="es-ES"/>
              </w:rPr>
              <w:t>, t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otal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en total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sumando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primero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segundo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separando</w:t>
            </w:r>
            <w:r>
              <w:rPr>
                <w:sz w:val="24"/>
                <w:szCs w:val="24"/>
                <w:lang w:val="es-ES"/>
              </w:rPr>
              <w:t>,</w:t>
            </w:r>
            <w:r w:rsidR="001E10CB">
              <w:rPr>
                <w:sz w:val="24"/>
                <w:szCs w:val="24"/>
                <w:lang w:val="es-ES"/>
              </w:rPr>
              <w:t xml:space="preserve"> ecuación, grupos, estrategia.</w:t>
            </w:r>
          </w:p>
        </w:tc>
        <w:tc>
          <w:tcPr>
            <w:tcW w:w="7488" w:type="dxa"/>
          </w:tcPr>
          <w:p w:rsidR="009B4731" w:rsidRDefault="009B4731" w:rsidP="009B4731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Trabajan con los números del 11 al 19 para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establecer los fundamentos del valor </w:t>
            </w:r>
          </w:p>
          <w:p w:rsidR="007A2EB0" w:rsidRDefault="009B4731" w:rsidP="009B4731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        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posicional</w:t>
            </w:r>
          </w:p>
          <w:p w:rsidR="009B4731" w:rsidRPr="00A617D1" w:rsidRDefault="009B4731" w:rsidP="009B4731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Calibri"/>
                <w:b/>
                <w:u w:val="single"/>
                <w:lang w:val="es-ES"/>
              </w:rPr>
            </w:pPr>
          </w:p>
          <w:p w:rsidR="009B4731" w:rsidRDefault="00DA7627" w:rsidP="009B4731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N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úmero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cero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, uno,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dos…trece, catorce…diecinueve...</w:t>
            </w:r>
          </w:p>
          <w:p w:rsidR="00A617D1" w:rsidRPr="00DA7627" w:rsidRDefault="009B4731" w:rsidP="009B4731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rFonts w:eastAsia="Times New Roman"/>
                <w:bCs/>
                <w:sz w:val="24"/>
                <w:szCs w:val="24"/>
                <w:lang w:val="es-ES"/>
              </w:rPr>
              <w:t>Unidades, sobrantes.</w:t>
            </w:r>
            <w:r w:rsidRPr="00DA7627"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</w:tc>
      </w:tr>
      <w:tr w:rsidR="00A617D1" w:rsidRPr="009B4731" w:rsidTr="00DA7627">
        <w:trPr>
          <w:trHeight w:val="665"/>
        </w:trPr>
        <w:tc>
          <w:tcPr>
            <w:tcW w:w="6840" w:type="dxa"/>
          </w:tcPr>
          <w:p w:rsidR="00A617D1" w:rsidRPr="009B4731" w:rsidRDefault="00DA7627" w:rsidP="00EC32BF">
            <w:pPr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9B4731">
              <w:rPr>
                <w:rFonts w:ascii="Comic Sans MS" w:hAnsi="Comic Sans MS"/>
                <w:sz w:val="28"/>
                <w:szCs w:val="28"/>
                <w:lang w:val="es-ES"/>
              </w:rPr>
              <w:t>Medición y datos</w:t>
            </w:r>
            <w:r w:rsidR="00A617D1" w:rsidRPr="009B4731">
              <w:rPr>
                <w:rFonts w:ascii="Comic Sans MS" w:hAnsi="Comic Sans MS"/>
                <w:sz w:val="28"/>
                <w:szCs w:val="28"/>
                <w:lang w:val="es-ES"/>
              </w:rPr>
              <w:t xml:space="preserve"> (MD)</w:t>
            </w:r>
          </w:p>
        </w:tc>
        <w:tc>
          <w:tcPr>
            <w:tcW w:w="7488" w:type="dxa"/>
          </w:tcPr>
          <w:p w:rsidR="00A617D1" w:rsidRPr="009B4731" w:rsidRDefault="00A617D1" w:rsidP="00DA7627">
            <w:pPr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9B4731">
              <w:rPr>
                <w:rFonts w:ascii="Comic Sans MS" w:hAnsi="Comic Sans MS"/>
                <w:sz w:val="28"/>
                <w:szCs w:val="28"/>
                <w:lang w:val="es-ES"/>
              </w:rPr>
              <w:t>Geomet</w:t>
            </w:r>
            <w:r w:rsidR="00DA7627" w:rsidRPr="009B4731">
              <w:rPr>
                <w:rFonts w:ascii="Comic Sans MS" w:hAnsi="Comic Sans MS"/>
                <w:sz w:val="28"/>
                <w:szCs w:val="28"/>
                <w:lang w:val="es-ES"/>
              </w:rPr>
              <w:t xml:space="preserve">ría </w:t>
            </w:r>
            <w:r w:rsidRPr="009B4731">
              <w:rPr>
                <w:rFonts w:ascii="Comic Sans MS" w:hAnsi="Comic Sans MS"/>
                <w:sz w:val="28"/>
                <w:szCs w:val="28"/>
                <w:lang w:val="es-ES"/>
              </w:rPr>
              <w:t>(G)</w:t>
            </w:r>
          </w:p>
        </w:tc>
      </w:tr>
      <w:tr w:rsidR="00A617D1" w:rsidRPr="001E0D64" w:rsidTr="00DA7627">
        <w:trPr>
          <w:trHeight w:val="3491"/>
        </w:trPr>
        <w:tc>
          <w:tcPr>
            <w:tcW w:w="6840" w:type="dxa"/>
          </w:tcPr>
          <w:p w:rsidR="009B4731" w:rsidRPr="009B4731" w:rsidRDefault="009B4731" w:rsidP="009B4731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Describen y comparan atributos medibles.</w:t>
            </w:r>
          </w:p>
          <w:p w:rsidR="007A2EB0" w:rsidRDefault="009B4731" w:rsidP="009B4731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Clasifican objetos y cuentan la cantidad de objetos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por categorías.</w:t>
            </w:r>
          </w:p>
          <w:p w:rsidR="009B4731" w:rsidRPr="00D862F7" w:rsidRDefault="009B4731" w:rsidP="009B4731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</w:pPr>
          </w:p>
          <w:p w:rsidR="007C23A7" w:rsidRPr="001E0D64" w:rsidRDefault="009B4731" w:rsidP="007C23A7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Largo, pesado, ancho, delgado-estrecho, vacío, lleno, más largo que, más pesado que, más estrecho que, más vacío que, más lleno que, lo mismo que, grupo, agrupar, clasificar, más, menos, igual, diferente.</w:t>
            </w:r>
          </w:p>
          <w:p w:rsidR="00A617D1" w:rsidRPr="00D862F7" w:rsidRDefault="00A617D1" w:rsidP="00EC32BF">
            <w:pPr>
              <w:rPr>
                <w:u w:val="single"/>
                <w:lang w:val="es-ES"/>
              </w:rPr>
            </w:pPr>
          </w:p>
        </w:tc>
        <w:tc>
          <w:tcPr>
            <w:tcW w:w="7488" w:type="dxa"/>
          </w:tcPr>
          <w:p w:rsidR="009B4731" w:rsidRPr="009B4731" w:rsidRDefault="009B4731" w:rsidP="009B4731">
            <w:pPr>
              <w:pStyle w:val="Default"/>
              <w:tabs>
                <w:tab w:val="left" w:pos="330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Identifican y describen figuras geométricas.</w:t>
            </w:r>
          </w:p>
          <w:p w:rsidR="007A2EB0" w:rsidRDefault="009B4731" w:rsidP="009B4731">
            <w:pPr>
              <w:pStyle w:val="Default"/>
              <w:tabs>
                <w:tab w:val="left" w:pos="330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Analizan, comparan, crean, y componen figuras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9B4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geométricas.</w:t>
            </w:r>
          </w:p>
          <w:p w:rsidR="009B4731" w:rsidRPr="007F55AF" w:rsidRDefault="009B4731" w:rsidP="009B4731">
            <w:pPr>
              <w:pStyle w:val="Default"/>
              <w:tabs>
                <w:tab w:val="left" w:pos="330"/>
              </w:tabs>
              <w:contextualSpacing/>
              <w:rPr>
                <w:bCs/>
                <w:color w:val="3B3B3A"/>
                <w:u w:val="single"/>
                <w:lang w:val="es-ES"/>
              </w:rPr>
            </w:pPr>
          </w:p>
          <w:p w:rsidR="001C0435" w:rsidRPr="005707B2" w:rsidRDefault="009B4731" w:rsidP="009B4731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sz w:val="24"/>
                <w:szCs w:val="24"/>
                <w:lang w:val="es-ES"/>
              </w:rPr>
            </w:pPr>
            <w:r w:rsidRPr="005707B2">
              <w:rPr>
                <w:sz w:val="24"/>
                <w:szCs w:val="24"/>
                <w:u w:val="single"/>
                <w:lang w:val="es-ES"/>
              </w:rPr>
              <w:t>Para describir objetos</w:t>
            </w:r>
            <w:r w:rsidRPr="005707B2">
              <w:rPr>
                <w:sz w:val="24"/>
                <w:szCs w:val="24"/>
                <w:lang w:val="es-ES"/>
              </w:rPr>
              <w:t>: dentro –fuera, arriba-abajo, encima-debajo, antes-después, delante-detrás, derecha-izquierda, encendido-apagado, empieza-termina, cerca-lejos, al lado de</w:t>
            </w:r>
            <w:r w:rsidR="001C0435" w:rsidRPr="005707B2">
              <w:rPr>
                <w:sz w:val="24"/>
                <w:szCs w:val="24"/>
                <w:lang w:val="es-ES"/>
              </w:rPr>
              <w:t>.</w:t>
            </w:r>
            <w:r w:rsidRPr="005707B2">
              <w:rPr>
                <w:sz w:val="24"/>
                <w:szCs w:val="24"/>
                <w:lang w:val="es-ES"/>
              </w:rPr>
              <w:t xml:space="preserve"> </w:t>
            </w:r>
          </w:p>
          <w:p w:rsidR="00A617D1" w:rsidRPr="009B4731" w:rsidRDefault="001C0435" w:rsidP="009B4731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lang w:val="es-ES"/>
              </w:rPr>
            </w:pPr>
            <w:r w:rsidRPr="005707B2">
              <w:rPr>
                <w:sz w:val="24"/>
                <w:szCs w:val="24"/>
                <w:lang w:val="es-ES"/>
              </w:rPr>
              <w:t>C</w:t>
            </w:r>
            <w:r w:rsidR="009B4731" w:rsidRPr="005707B2">
              <w:rPr>
                <w:sz w:val="24"/>
                <w:szCs w:val="24"/>
                <w:lang w:val="es-ES"/>
              </w:rPr>
              <w:t>uadrado, triángulo, círculo, rectángulo, hexágono, cubo, cono, esfera, plano, sólida-volumen, bidimensional, tridimensional</w:t>
            </w:r>
            <w:r w:rsidRPr="005707B2">
              <w:rPr>
                <w:sz w:val="24"/>
                <w:szCs w:val="24"/>
                <w:lang w:val="es-ES"/>
              </w:rPr>
              <w:t>, esquinas, lados, puntos.</w:t>
            </w:r>
          </w:p>
        </w:tc>
      </w:tr>
    </w:tbl>
    <w:p w:rsidR="00163D51" w:rsidRPr="00991C9B" w:rsidRDefault="00991C9B">
      <w:pPr>
        <w:rPr>
          <w:sz w:val="16"/>
          <w:szCs w:val="16"/>
        </w:rPr>
      </w:pPr>
      <w:r>
        <w:rPr>
          <w:sz w:val="16"/>
          <w:szCs w:val="16"/>
        </w:rPr>
        <w:t>Trans</w:t>
      </w:r>
      <w:r w:rsidRPr="00991C9B">
        <w:rPr>
          <w:sz w:val="16"/>
          <w:szCs w:val="16"/>
        </w:rPr>
        <w:t>lated by PUSD Ed. Services – EL Department     October 2014</w:t>
      </w:r>
    </w:p>
    <w:sectPr w:rsidR="00163D51" w:rsidRPr="00991C9B" w:rsidSect="00991C9B">
      <w:pgSz w:w="15840" w:h="12240" w:orient="landscape"/>
      <w:pgMar w:top="27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7D1"/>
    <w:rsid w:val="00131F01"/>
    <w:rsid w:val="00163D51"/>
    <w:rsid w:val="001C0435"/>
    <w:rsid w:val="001C2B4A"/>
    <w:rsid w:val="001E0D64"/>
    <w:rsid w:val="001E10CB"/>
    <w:rsid w:val="005707B2"/>
    <w:rsid w:val="00753956"/>
    <w:rsid w:val="007A2EB0"/>
    <w:rsid w:val="007B068A"/>
    <w:rsid w:val="007C23A7"/>
    <w:rsid w:val="007C6CE0"/>
    <w:rsid w:val="007F55AF"/>
    <w:rsid w:val="00991C9B"/>
    <w:rsid w:val="00996308"/>
    <w:rsid w:val="009B4731"/>
    <w:rsid w:val="00A0481C"/>
    <w:rsid w:val="00A06478"/>
    <w:rsid w:val="00A617D1"/>
    <w:rsid w:val="00C333F4"/>
    <w:rsid w:val="00D32E0A"/>
    <w:rsid w:val="00D862F7"/>
    <w:rsid w:val="00DA7627"/>
    <w:rsid w:val="00FA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7D1"/>
    <w:pPr>
      <w:ind w:left="720"/>
      <w:contextualSpacing/>
    </w:pPr>
  </w:style>
  <w:style w:type="paragraph" w:customStyle="1" w:styleId="Default">
    <w:name w:val="Default"/>
    <w:rsid w:val="00A617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7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E634C-54D3-4568-85C7-8877D89D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6</cp:revision>
  <cp:lastPrinted>2014-10-24T21:24:00Z</cp:lastPrinted>
  <dcterms:created xsi:type="dcterms:W3CDTF">2014-10-24T21:00:00Z</dcterms:created>
  <dcterms:modified xsi:type="dcterms:W3CDTF">2014-10-24T21:24:00Z</dcterms:modified>
</cp:coreProperties>
</file>