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D1" w:rsidRDefault="00A617D1" w:rsidP="00A617D1">
      <w:pPr>
        <w:pStyle w:val="HTMLPreformatted"/>
        <w:shd w:val="clear" w:color="auto" w:fill="FFFFFF"/>
        <w:jc w:val="center"/>
        <w:rPr>
          <w:rFonts w:ascii="inherit" w:hAnsi="inherit"/>
          <w:b/>
          <w:color w:val="212121"/>
          <w:sz w:val="40"/>
          <w:szCs w:val="40"/>
        </w:rPr>
      </w:pPr>
      <w:r w:rsidRPr="00E17268">
        <w:rPr>
          <w:rFonts w:ascii="inherit" w:hAnsi="inherit"/>
          <w:b/>
          <w:color w:val="212121"/>
          <w:sz w:val="40"/>
          <w:szCs w:val="40"/>
        </w:rPr>
        <w:t xml:space="preserve">Primer Grado Vocabulario </w:t>
      </w:r>
      <w:r>
        <w:rPr>
          <w:rFonts w:ascii="inherit" w:hAnsi="inherit"/>
          <w:b/>
          <w:color w:val="212121"/>
          <w:sz w:val="40"/>
          <w:szCs w:val="40"/>
        </w:rPr>
        <w:t xml:space="preserve">de </w:t>
      </w:r>
      <w:r w:rsidRPr="00E17268">
        <w:rPr>
          <w:rFonts w:ascii="inherit" w:hAnsi="inherit"/>
          <w:b/>
          <w:color w:val="212121"/>
          <w:sz w:val="40"/>
          <w:szCs w:val="40"/>
        </w:rPr>
        <w:t xml:space="preserve">Matemáticas </w:t>
      </w:r>
    </w:p>
    <w:p w:rsidR="00991C9B" w:rsidRDefault="00991C9B" w:rsidP="00A617D1">
      <w:pPr>
        <w:pStyle w:val="HTMLPreformatted"/>
        <w:shd w:val="clear" w:color="auto" w:fill="FFFFFF"/>
        <w:jc w:val="center"/>
        <w:rPr>
          <w:rFonts w:ascii="Comic Sans MS" w:hAnsi="Comic Sans MS"/>
          <w:sz w:val="40"/>
          <w:szCs w:val="40"/>
        </w:rPr>
      </w:pPr>
    </w:p>
    <w:tbl>
      <w:tblPr>
        <w:tblStyle w:val="TableGrid"/>
        <w:tblW w:w="0" w:type="auto"/>
        <w:tblInd w:w="18" w:type="dxa"/>
        <w:tblLayout w:type="fixed"/>
        <w:tblLook w:val="04A0"/>
      </w:tblPr>
      <w:tblGrid>
        <w:gridCol w:w="6840"/>
        <w:gridCol w:w="7488"/>
      </w:tblGrid>
      <w:tr w:rsidR="00A617D1" w:rsidRPr="001E0D64" w:rsidTr="00A617D1">
        <w:trPr>
          <w:trHeight w:val="602"/>
        </w:trPr>
        <w:tc>
          <w:tcPr>
            <w:tcW w:w="6840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Operaciones y pensamiento algebraico (OA)</w:t>
            </w:r>
          </w:p>
        </w:tc>
        <w:tc>
          <w:tcPr>
            <w:tcW w:w="7488" w:type="dxa"/>
          </w:tcPr>
          <w:p w:rsidR="00A617D1" w:rsidRPr="00A617D1" w:rsidRDefault="00A617D1" w:rsidP="00EC32BF">
            <w:pPr>
              <w:jc w:val="center"/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A617D1">
              <w:rPr>
                <w:rFonts w:ascii="Comic Sans MS" w:hAnsi="Comic Sans MS"/>
                <w:sz w:val="24"/>
                <w:szCs w:val="24"/>
                <w:lang w:val="es-ES"/>
              </w:rPr>
              <w:t>Números y operaciones en base diez (NBT)</w:t>
            </w:r>
          </w:p>
        </w:tc>
      </w:tr>
      <w:tr w:rsidR="00A617D1" w:rsidRPr="001E0D64" w:rsidTr="00DA7627">
        <w:trPr>
          <w:trHeight w:val="3959"/>
        </w:trPr>
        <w:tc>
          <w:tcPr>
            <w:tcW w:w="6840" w:type="dxa"/>
          </w:tcPr>
          <w:p w:rsidR="007A2EB0" w:rsidRPr="007A2EB0" w:rsidRDefault="007A2EB0" w:rsidP="007A2EB0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Representan y resuelven problemas relacionados a la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de suma y a la resta.</w:t>
            </w:r>
          </w:p>
          <w:p w:rsidR="007A2EB0" w:rsidRPr="007A2EB0" w:rsidRDefault="007A2EB0" w:rsidP="007A2EB0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Comprenden y aplican las propiedades de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operaciones, así como la relación entre la suma y la resta.</w:t>
            </w:r>
          </w:p>
          <w:p w:rsidR="007A2EB0" w:rsidRPr="007A2EB0" w:rsidRDefault="007A2EB0" w:rsidP="007A2EB0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Suman y restan hasta el número 20.</w:t>
            </w:r>
          </w:p>
          <w:p w:rsidR="00A617D1" w:rsidRDefault="007A2EB0" w:rsidP="007A2EB0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Trabajan con ecuaciones de suma y resta </w:t>
            </w:r>
          </w:p>
          <w:p w:rsidR="007A2EB0" w:rsidRPr="00A617D1" w:rsidRDefault="007A2EB0" w:rsidP="007A2EB0">
            <w:pPr>
              <w:pStyle w:val="Default"/>
              <w:ind w:left="360" w:hanging="360"/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A617D1" w:rsidRPr="00A617D1" w:rsidRDefault="00A617D1" w:rsidP="00A617D1">
            <w:pPr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 xml:space="preserve">Sumar, sumar a, restar, juntar, </w:t>
            </w:r>
            <w:r w:rsidRPr="00A617D1">
              <w:rPr>
                <w:sz w:val="24"/>
                <w:szCs w:val="24"/>
                <w:lang w:val="es-ES"/>
              </w:rPr>
              <w:t>comparar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desconocido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menos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menos que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igual a/que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sustraer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la misma cantidad que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 xml:space="preserve"> contando con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formar diez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 dobles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ecuación</w:t>
            </w:r>
            <w:r>
              <w:rPr>
                <w:sz w:val="24"/>
                <w:szCs w:val="24"/>
                <w:lang w:val="es-ES"/>
              </w:rPr>
              <w:t>, t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otal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en total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sumando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 xml:space="preserve">     primero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segundo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Times New Roman"/>
                <w:bCs/>
                <w:sz w:val="24"/>
                <w:szCs w:val="24"/>
                <w:lang w:val="es-ES"/>
              </w:rPr>
              <w:t>sumando desconocido</w:t>
            </w:r>
            <w:r>
              <w:rPr>
                <w:rFonts w:cs="Times New Roman"/>
                <w:bCs/>
                <w:sz w:val="24"/>
                <w:szCs w:val="24"/>
                <w:lang w:val="es-ES"/>
              </w:rPr>
              <w:t>, o</w:t>
            </w:r>
            <w:r w:rsidRPr="00A617D1">
              <w:rPr>
                <w:rFonts w:cs="Times New Roman"/>
                <w:bCs/>
                <w:sz w:val="24"/>
                <w:szCs w:val="24"/>
                <w:lang w:val="es-ES"/>
              </w:rPr>
              <w:t>rden</w:t>
            </w:r>
            <w:r>
              <w:rPr>
                <w:rFonts w:cs="Times New Roman"/>
                <w:bCs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separando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equivalente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>contando hacia atrás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factores relacionados</w:t>
            </w:r>
            <w:r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sz w:val="24"/>
                <w:szCs w:val="24"/>
                <w:lang w:val="es-ES"/>
              </w:rPr>
              <w:t xml:space="preserve">     verdadero</w:t>
            </w:r>
            <w:r>
              <w:rPr>
                <w:sz w:val="24"/>
                <w:szCs w:val="24"/>
                <w:lang w:val="es-ES"/>
              </w:rPr>
              <w:t>,</w:t>
            </w:r>
            <w:r w:rsidRPr="00A617D1">
              <w:rPr>
                <w:sz w:val="24"/>
                <w:szCs w:val="24"/>
                <w:lang w:val="es-ES"/>
              </w:rPr>
              <w:t xml:space="preserve"> falso</w:t>
            </w:r>
            <w:r>
              <w:rPr>
                <w:sz w:val="24"/>
                <w:szCs w:val="24"/>
                <w:lang w:val="es-ES"/>
              </w:rPr>
              <w:t xml:space="preserve">, </w:t>
            </w:r>
            <w:r w:rsidRPr="00A617D1">
              <w:rPr>
                <w:rFonts w:cs="Arial"/>
                <w:sz w:val="24"/>
                <w:szCs w:val="24"/>
                <w:lang w:val="es-ES"/>
              </w:rPr>
              <w:t>signo/operación</w:t>
            </w:r>
            <w:r w:rsidR="00991C9B">
              <w:rPr>
                <w:rFonts w:cs="Arial"/>
                <w:sz w:val="24"/>
                <w:szCs w:val="24"/>
                <w:lang w:val="es-ES"/>
              </w:rPr>
              <w:t>.</w:t>
            </w:r>
          </w:p>
        </w:tc>
        <w:tc>
          <w:tcPr>
            <w:tcW w:w="7488" w:type="dxa"/>
          </w:tcPr>
          <w:p w:rsidR="007A2EB0" w:rsidRPr="007A2EB0" w:rsidRDefault="007A2EB0" w:rsidP="007A2EB0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Extienden la secuencia de conteo.</w:t>
            </w:r>
          </w:p>
          <w:p w:rsidR="007A2EB0" w:rsidRPr="007A2EB0" w:rsidRDefault="007A2EB0" w:rsidP="007A2EB0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Comprenden el valor de posición.</w:t>
            </w:r>
          </w:p>
          <w:p w:rsidR="007A2EB0" w:rsidRDefault="007A2EB0" w:rsidP="007A2EB0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Utilizan la comprensión del valor de posición y las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propiedades de las operaciones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 </w:t>
            </w:r>
          </w:p>
          <w:p w:rsidR="00A617D1" w:rsidRDefault="007A2EB0" w:rsidP="007A2EB0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        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para sumar y restar.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s-ES"/>
              </w:rPr>
              <w:t xml:space="preserve"> </w:t>
            </w:r>
          </w:p>
          <w:p w:rsidR="007A2EB0" w:rsidRPr="00A617D1" w:rsidRDefault="007A2EB0" w:rsidP="007A2EB0">
            <w:pPr>
              <w:pStyle w:val="Default"/>
              <w:tabs>
                <w:tab w:val="left" w:pos="342"/>
              </w:tabs>
              <w:contextualSpacing/>
              <w:rPr>
                <w:rFonts w:asciiTheme="minorHAnsi" w:hAnsiTheme="minorHAnsi" w:cs="Calibri"/>
                <w:b/>
                <w:u w:val="single"/>
                <w:lang w:val="es-ES"/>
              </w:rPr>
            </w:pPr>
          </w:p>
          <w:p w:rsidR="00A617D1" w:rsidRPr="001E0D64" w:rsidRDefault="00DA7627" w:rsidP="00DA7627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Cs/>
                <w:sz w:val="24"/>
                <w:szCs w:val="24"/>
                <w:lang w:val="es-ES"/>
              </w:rPr>
            </w:pP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N</w:t>
            </w:r>
            <w:r w:rsidR="00A617D1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úmero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="00A617D1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cero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, uno,</w:t>
            </w:r>
            <w:r w:rsidR="00A617D1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dos…trece, catorce…diecinueve...ciento veinte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="00A617D1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   </w:t>
            </w:r>
          </w:p>
          <w:p w:rsidR="00991C9B" w:rsidRPr="001E0D64" w:rsidRDefault="00A617D1" w:rsidP="00DA762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  <w:lang w:val="es-ES"/>
              </w:rPr>
            </w:pP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(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un/ ,dos/, tres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)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dígitos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unidades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conjunto/intercambiar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restos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simples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grupos 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compara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Pr="001E0D64">
              <w:rPr>
                <w:sz w:val="24"/>
                <w:szCs w:val="24"/>
                <w:lang w:val="es-ES"/>
              </w:rPr>
              <w:t>mayor que</w:t>
            </w:r>
            <w:r w:rsidR="00DA7627" w:rsidRPr="001E0D64">
              <w:rPr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sz w:val="24"/>
                <w:szCs w:val="24"/>
                <w:lang w:val="es-ES"/>
              </w:rPr>
              <w:t>menos que</w:t>
            </w:r>
            <w:r w:rsidR="00DA7627" w:rsidRPr="001E0D64">
              <w:rPr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sz w:val="24"/>
                <w:szCs w:val="24"/>
                <w:lang w:val="es-ES"/>
              </w:rPr>
              <w:t>igual a</w:t>
            </w:r>
            <w:r w:rsidR="00DA7627" w:rsidRPr="001E0D64">
              <w:rPr>
                <w:sz w:val="24"/>
                <w:szCs w:val="24"/>
                <w:lang w:val="es-ES"/>
              </w:rPr>
              <w:t xml:space="preserve">, </w:t>
            </w:r>
            <w:r w:rsidRPr="001E0D64">
              <w:rPr>
                <w:sz w:val="24"/>
                <w:szCs w:val="24"/>
                <w:lang w:val="es-ES"/>
              </w:rPr>
              <w:t xml:space="preserve"> </w:t>
            </w:r>
          </w:p>
          <w:p w:rsidR="00A617D1" w:rsidRPr="00DA7627" w:rsidRDefault="00A617D1" w:rsidP="00DA7627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4"/>
                <w:szCs w:val="24"/>
                <w:lang w:val="es-ES"/>
              </w:rPr>
            </w:pPr>
            <w:r w:rsidRPr="001E0D64">
              <w:rPr>
                <w:sz w:val="24"/>
                <w:szCs w:val="24"/>
                <w:lang w:val="es-ES"/>
              </w:rPr>
              <w:t xml:space="preserve">‹,  ›,   </w:t>
            </w:r>
            <w:r w:rsidR="001E0D64" w:rsidRPr="001E0D64">
              <w:rPr>
                <w:sz w:val="24"/>
                <w:szCs w:val="24"/>
                <w:lang w:val="es-ES"/>
              </w:rPr>
              <w:t>=,</w:t>
            </w:r>
            <w:r w:rsidR="00DA7627" w:rsidRPr="001E0D64">
              <w:rPr>
                <w:sz w:val="24"/>
                <w:szCs w:val="24"/>
                <w:lang w:val="es-ES"/>
              </w:rPr>
              <w:t xml:space="preserve"> </w:t>
            </w:r>
            <w:r w:rsidRPr="001E0D64">
              <w:rPr>
                <w:rFonts w:cs="Arial"/>
                <w:sz w:val="24"/>
                <w:szCs w:val="24"/>
                <w:lang w:val="es-ES"/>
              </w:rPr>
              <w:t>de menor a mayor</w:t>
            </w:r>
            <w:r w:rsidR="00DA7627" w:rsidRPr="001E0D64">
              <w:rPr>
                <w:rFonts w:cs="Arial"/>
                <w:sz w:val="24"/>
                <w:szCs w:val="24"/>
                <w:lang w:val="es-ES"/>
              </w:rPr>
              <w:t xml:space="preserve">, </w:t>
            </w:r>
            <w:r w:rsidR="001E0D64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unidades,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decenas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>,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 </w:t>
            </w:r>
            <w:r w:rsidR="00DA7627"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razón,  más, menos, estrategia, </w:t>
            </w:r>
            <w:r w:rsidRPr="001E0D64">
              <w:rPr>
                <w:rFonts w:eastAsia="Times New Roman"/>
                <w:bCs/>
                <w:sz w:val="24"/>
                <w:szCs w:val="24"/>
                <w:lang w:val="es-ES"/>
              </w:rPr>
              <w:t xml:space="preserve"> </w:t>
            </w:r>
            <w:r w:rsidR="00991C9B" w:rsidRPr="001E0D64">
              <w:rPr>
                <w:rFonts w:cs="Arial"/>
                <w:sz w:val="24"/>
                <w:szCs w:val="24"/>
                <w:lang w:val="es-ES"/>
              </w:rPr>
              <w:t>explicar, “</w:t>
            </w:r>
            <w:r w:rsidR="00DA7627" w:rsidRPr="001E0D64">
              <w:rPr>
                <w:rFonts w:cs="Arial"/>
                <w:sz w:val="24"/>
                <w:szCs w:val="24"/>
                <w:lang w:val="es-ES"/>
              </w:rPr>
              <w:t>mentalmente</w:t>
            </w:r>
            <w:r w:rsidRPr="001E0D64">
              <w:rPr>
                <w:rFonts w:cs="Arial"/>
                <w:sz w:val="24"/>
                <w:szCs w:val="24"/>
                <w:lang w:val="es-ES"/>
              </w:rPr>
              <w:t>”</w:t>
            </w:r>
            <w:r w:rsidR="00DA7627" w:rsidRPr="001E0D64">
              <w:rPr>
                <w:rFonts w:cs="Arial"/>
                <w:sz w:val="24"/>
                <w:szCs w:val="24"/>
                <w:lang w:val="es-ES"/>
              </w:rPr>
              <w:t>, contar hacia atrás, hacia delante.</w:t>
            </w:r>
            <w:r w:rsidR="00DA7627">
              <w:rPr>
                <w:rFonts w:cs="Arial"/>
                <w:sz w:val="24"/>
                <w:szCs w:val="24"/>
                <w:lang w:val="es-ES"/>
              </w:rPr>
              <w:t xml:space="preserve"> </w:t>
            </w:r>
          </w:p>
          <w:p w:rsidR="00A617D1" w:rsidRPr="00DA7627" w:rsidRDefault="00A617D1" w:rsidP="00EC32BF">
            <w:pPr>
              <w:pStyle w:val="ListParagraph"/>
              <w:rPr>
                <w:rFonts w:ascii="Comic Sans MS" w:hAnsi="Comic Sans MS"/>
                <w:b/>
                <w:sz w:val="24"/>
                <w:szCs w:val="24"/>
                <w:u w:val="single"/>
                <w:lang w:val="es-ES"/>
              </w:rPr>
            </w:pPr>
          </w:p>
        </w:tc>
      </w:tr>
      <w:tr w:rsidR="00A617D1" w:rsidRPr="00023114" w:rsidTr="00DA7627">
        <w:trPr>
          <w:trHeight w:val="665"/>
        </w:trPr>
        <w:tc>
          <w:tcPr>
            <w:tcW w:w="6840" w:type="dxa"/>
          </w:tcPr>
          <w:p w:rsidR="00A617D1" w:rsidRPr="00023114" w:rsidRDefault="00DA7627" w:rsidP="00EC32B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Medición y datos</w:t>
            </w:r>
            <w:r w:rsidR="00A617D1">
              <w:rPr>
                <w:rFonts w:ascii="Comic Sans MS" w:hAnsi="Comic Sans MS"/>
                <w:sz w:val="28"/>
                <w:szCs w:val="28"/>
              </w:rPr>
              <w:t xml:space="preserve"> (MD)</w:t>
            </w:r>
          </w:p>
        </w:tc>
        <w:tc>
          <w:tcPr>
            <w:tcW w:w="7488" w:type="dxa"/>
          </w:tcPr>
          <w:p w:rsidR="00A617D1" w:rsidRPr="00023114" w:rsidRDefault="00A617D1" w:rsidP="00DA762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23114">
              <w:rPr>
                <w:rFonts w:ascii="Comic Sans MS" w:hAnsi="Comic Sans MS"/>
                <w:sz w:val="28"/>
                <w:szCs w:val="28"/>
              </w:rPr>
              <w:t>Geomet</w:t>
            </w:r>
            <w:r w:rsidR="00DA7627">
              <w:rPr>
                <w:rFonts w:ascii="Comic Sans MS" w:hAnsi="Comic Sans MS"/>
                <w:sz w:val="28"/>
                <w:szCs w:val="28"/>
              </w:rPr>
              <w:t xml:space="preserve">ría </w:t>
            </w:r>
            <w:r>
              <w:rPr>
                <w:rFonts w:ascii="Comic Sans MS" w:hAnsi="Comic Sans MS"/>
                <w:sz w:val="28"/>
                <w:szCs w:val="28"/>
              </w:rPr>
              <w:t>(G)</w:t>
            </w:r>
          </w:p>
        </w:tc>
      </w:tr>
      <w:tr w:rsidR="00A617D1" w:rsidRPr="001E0D64" w:rsidTr="00DA7627">
        <w:trPr>
          <w:trHeight w:val="3491"/>
        </w:trPr>
        <w:tc>
          <w:tcPr>
            <w:tcW w:w="6840" w:type="dxa"/>
          </w:tcPr>
          <w:p w:rsidR="007A2EB0" w:rsidRDefault="007A2EB0" w:rsidP="007A2EB0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Miden longitudes indirectamente y repitiendo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(iterando) unidades de 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</w:p>
          <w:p w:rsidR="007A2EB0" w:rsidRPr="007A2EB0" w:rsidRDefault="007A2EB0" w:rsidP="007A2EB0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         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longitud.</w:t>
            </w:r>
          </w:p>
          <w:p w:rsidR="007A2EB0" w:rsidRPr="007A2EB0" w:rsidRDefault="007A2EB0" w:rsidP="007A2EB0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Dicen y escriben la hora.</w:t>
            </w:r>
          </w:p>
          <w:p w:rsidR="00DA7627" w:rsidRDefault="007A2EB0" w:rsidP="007A2EB0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Representan e interpretan datos.</w:t>
            </w:r>
            <w:r w:rsidR="00DA7627" w:rsidRPr="00D862F7"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  <w:t xml:space="preserve"> </w:t>
            </w:r>
          </w:p>
          <w:p w:rsidR="007A2EB0" w:rsidRPr="00D862F7" w:rsidRDefault="007A2EB0" w:rsidP="007A2EB0">
            <w:pPr>
              <w:pStyle w:val="Default"/>
              <w:tabs>
                <w:tab w:val="left" w:pos="383"/>
                <w:tab w:val="left" w:pos="834"/>
                <w:tab w:val="left" w:pos="1034"/>
              </w:tabs>
              <w:contextualSpacing/>
              <w:rPr>
                <w:rFonts w:asciiTheme="minorHAnsi" w:hAnsiTheme="minorHAnsi"/>
                <w:b/>
                <w:sz w:val="22"/>
                <w:szCs w:val="22"/>
                <w:u w:val="single"/>
                <w:lang w:val="es-ES"/>
              </w:rPr>
            </w:pPr>
          </w:p>
          <w:p w:rsidR="007C23A7" w:rsidRPr="001E0D64" w:rsidRDefault="007F55AF" w:rsidP="007C23A7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  <w:lang w:val="es-ES"/>
              </w:rPr>
            </w:pPr>
            <w:r w:rsidRPr="001E0D64">
              <w:rPr>
                <w:sz w:val="24"/>
                <w:szCs w:val="24"/>
                <w:lang w:val="es-ES"/>
              </w:rPr>
              <w:t>C</w:t>
            </w:r>
            <w:r w:rsidR="00DA7627" w:rsidRPr="001E0D64">
              <w:rPr>
                <w:sz w:val="24"/>
                <w:szCs w:val="24"/>
                <w:lang w:val="es-ES"/>
              </w:rPr>
              <w:t>ompar</w:t>
            </w:r>
            <w:r w:rsidRPr="001E0D64">
              <w:rPr>
                <w:sz w:val="24"/>
                <w:szCs w:val="24"/>
                <w:lang w:val="es-ES"/>
              </w:rPr>
              <w:t xml:space="preserve">a, medida, </w:t>
            </w:r>
            <w:r w:rsidR="00DA7627" w:rsidRPr="001E0D64">
              <w:rPr>
                <w:sz w:val="24"/>
                <w:szCs w:val="24"/>
                <w:lang w:val="es-ES"/>
              </w:rPr>
              <w:t>orde</w:t>
            </w:r>
            <w:r w:rsidRPr="001E0D64">
              <w:rPr>
                <w:sz w:val="24"/>
                <w:szCs w:val="24"/>
                <w:lang w:val="es-ES"/>
              </w:rPr>
              <w:t xml:space="preserve">n, longitud, altura, ancho, más, menos, más largo que, más corto que, </w:t>
            </w:r>
            <w:r w:rsidR="00DA7627" w:rsidRPr="001E0D64">
              <w:rPr>
                <w:sz w:val="24"/>
                <w:szCs w:val="24"/>
                <w:lang w:val="es-ES"/>
              </w:rPr>
              <w:t xml:space="preserve"> </w:t>
            </w:r>
            <w:r w:rsidRPr="001E0D64">
              <w:rPr>
                <w:sz w:val="24"/>
                <w:szCs w:val="24"/>
                <w:lang w:val="es-ES"/>
              </w:rPr>
              <w:t>primero, segundo, tercero, espacio, superposiciones,</w:t>
            </w:r>
            <w:r w:rsidR="00DA7627" w:rsidRPr="001E0D64">
              <w:rPr>
                <w:sz w:val="24"/>
                <w:szCs w:val="24"/>
                <w:lang w:val="es-ES"/>
              </w:rPr>
              <w:t xml:space="preserve"> </w:t>
            </w:r>
            <w:r w:rsidRPr="001E0D64">
              <w:rPr>
                <w:sz w:val="24"/>
                <w:szCs w:val="24"/>
                <w:lang w:val="es-ES"/>
              </w:rPr>
              <w:t xml:space="preserve">un poco menos que, un poco más que, una cantidad mayor que, menor que,  punto final, más alto, más corto, </w:t>
            </w:r>
            <w:r w:rsidR="00DA7627" w:rsidRPr="001E0D64">
              <w:rPr>
                <w:rFonts w:cs="Arial"/>
                <w:sz w:val="24"/>
                <w:szCs w:val="24"/>
                <w:lang w:val="es-ES"/>
              </w:rPr>
              <w:t xml:space="preserve"> </w:t>
            </w:r>
            <w:r w:rsidRPr="001E0D64">
              <w:rPr>
                <w:rFonts w:cs="Arial"/>
                <w:sz w:val="24"/>
                <w:szCs w:val="24"/>
                <w:lang w:val="es-ES"/>
              </w:rPr>
              <w:t xml:space="preserve">herramienta de medida, regla, pulgada, centímetro, tiempo-hora, media hora, más o menos-sobre, en punto, pasada las, reloj analógico, reloj digital, datos, </w:t>
            </w:r>
            <w:r w:rsidR="007C23A7" w:rsidRPr="001E0D64">
              <w:rPr>
                <w:rFonts w:cs="Arial"/>
                <w:sz w:val="24"/>
                <w:szCs w:val="24"/>
                <w:lang w:val="es-ES"/>
              </w:rPr>
              <w:t xml:space="preserve">¿cuántos más?, ¿cuántos menos?, igual, diferente, categoría, pregunta, recoger información. </w:t>
            </w:r>
          </w:p>
          <w:p w:rsidR="00A617D1" w:rsidRPr="00D862F7" w:rsidRDefault="00A617D1" w:rsidP="00EC32BF">
            <w:pPr>
              <w:rPr>
                <w:u w:val="single"/>
                <w:lang w:val="es-ES"/>
              </w:rPr>
            </w:pPr>
          </w:p>
        </w:tc>
        <w:tc>
          <w:tcPr>
            <w:tcW w:w="7488" w:type="dxa"/>
          </w:tcPr>
          <w:p w:rsidR="00A617D1" w:rsidRDefault="007A2EB0" w:rsidP="007A2EB0">
            <w:pPr>
              <w:pStyle w:val="Default"/>
              <w:tabs>
                <w:tab w:val="left" w:pos="330"/>
              </w:tabs>
              <w:contextualSpacing/>
              <w:rPr>
                <w:rFonts w:asciiTheme="minorHAnsi" w:hAnsiTheme="minorHAnsi" w:cs="Arial"/>
                <w:b/>
                <w:bCs/>
                <w:color w:val="3B3B3A"/>
                <w:sz w:val="20"/>
                <w:szCs w:val="20"/>
                <w:u w:val="single"/>
                <w:lang w:val="es-ES"/>
              </w:rPr>
            </w:pP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•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ab/>
              <w:t xml:space="preserve"> Razonan usando las figuras geométricas y sus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 </w:t>
            </w:r>
            <w:r w:rsidRPr="007A2EB0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atributos.</w:t>
            </w:r>
            <w:r w:rsidRPr="007A2EB0">
              <w:rPr>
                <w:rFonts w:asciiTheme="minorHAnsi" w:hAnsiTheme="minorHAnsi" w:cs="Arial"/>
                <w:b/>
                <w:bCs/>
                <w:color w:val="3B3B3A"/>
                <w:sz w:val="20"/>
                <w:szCs w:val="20"/>
                <w:u w:val="single"/>
                <w:lang w:val="es-ES"/>
              </w:rPr>
              <w:t xml:space="preserve"> </w:t>
            </w:r>
          </w:p>
          <w:p w:rsidR="007A2EB0" w:rsidRPr="007F55AF" w:rsidRDefault="007A2EB0" w:rsidP="007A2EB0">
            <w:pPr>
              <w:pStyle w:val="Default"/>
              <w:contextualSpacing/>
              <w:rPr>
                <w:bCs/>
                <w:color w:val="3B3B3A"/>
                <w:u w:val="single"/>
                <w:lang w:val="es-ES"/>
              </w:rPr>
            </w:pPr>
          </w:p>
          <w:p w:rsidR="00A617D1" w:rsidRPr="001E0D64" w:rsidRDefault="007C23A7" w:rsidP="00EC32BF">
            <w:pPr>
              <w:pStyle w:val="Default"/>
              <w:rPr>
                <w:rFonts w:asciiTheme="minorHAnsi" w:hAnsiTheme="minorHAnsi" w:cs="Times New Roman"/>
                <w:lang w:val="es-ES"/>
              </w:rPr>
            </w:pPr>
            <w:r w:rsidRPr="001E0D64">
              <w:rPr>
                <w:rFonts w:asciiTheme="minorHAnsi" w:hAnsiTheme="minorHAnsi" w:cs="Times New Roman"/>
                <w:bCs/>
                <w:lang w:val="es-ES"/>
              </w:rPr>
              <w:t xml:space="preserve">Figura geométrica, cerrado/a, abierto/a, </w:t>
            </w:r>
            <w:r w:rsidR="00A617D1" w:rsidRPr="001E0D64">
              <w:rPr>
                <w:rFonts w:asciiTheme="minorHAnsi" w:hAnsiTheme="minorHAnsi" w:cs="Times New Roman"/>
                <w:bCs/>
                <w:lang w:val="es-ES"/>
              </w:rPr>
              <w:t xml:space="preserve"> </w:t>
            </w:r>
            <w:r w:rsidRPr="001E0D64">
              <w:rPr>
                <w:rFonts w:asciiTheme="minorHAnsi" w:hAnsiTheme="minorHAnsi" w:cs="Times New Roman"/>
                <w:bCs/>
                <w:lang w:val="es-ES"/>
              </w:rPr>
              <w:t>lado, atributo,</w:t>
            </w:r>
            <w:r w:rsidR="00A617D1" w:rsidRPr="001E0D64">
              <w:rPr>
                <w:rFonts w:asciiTheme="minorHAnsi" w:hAnsiTheme="minorHAnsi" w:cs="Times New Roman"/>
                <w:bCs/>
                <w:lang w:val="es-ES"/>
              </w:rPr>
              <w:t xml:space="preserve">   </w:t>
            </w:r>
            <w:r w:rsidRPr="001E0D64">
              <w:rPr>
                <w:rFonts w:asciiTheme="minorHAnsi" w:hAnsiTheme="minorHAnsi" w:cs="Times New Roman"/>
                <w:bCs/>
                <w:lang w:val="es-ES"/>
              </w:rPr>
              <w:t>elementos, dos dimensiones, rectángulo, cuadrado, trapezoide, triángulo,  semicírculo, un cuarto de círculo</w:t>
            </w:r>
            <w:r w:rsidR="00A617D1" w:rsidRPr="001E0D64">
              <w:rPr>
                <w:rFonts w:asciiTheme="minorHAnsi" w:hAnsiTheme="minorHAnsi" w:cs="Times New Roman"/>
                <w:lang w:val="es-ES"/>
              </w:rPr>
              <w:t>,</w:t>
            </w:r>
            <w:r w:rsidRPr="001E0D64">
              <w:rPr>
                <w:rFonts w:asciiTheme="minorHAnsi" w:hAnsiTheme="minorHAnsi" w:cs="Times New Roman"/>
                <w:lang w:val="es-ES"/>
              </w:rPr>
              <w:t xml:space="preserve"> prisma rectangular, cubo, cono, prisma, cilindro, partición, partes iguales, mitad-es, </w:t>
            </w:r>
            <w:r w:rsidR="001E0D64" w:rsidRPr="001E0D64">
              <w:rPr>
                <w:rFonts w:asciiTheme="minorHAnsi" w:hAnsiTheme="minorHAnsi" w:cs="Times New Roman"/>
                <w:lang w:val="es-ES"/>
              </w:rPr>
              <w:t>cuartos, un cuarto de, mitad de.</w:t>
            </w:r>
            <w:r w:rsidRPr="001E0D64">
              <w:rPr>
                <w:rFonts w:asciiTheme="minorHAnsi" w:hAnsiTheme="minorHAnsi" w:cs="Times New Roman"/>
                <w:lang w:val="es-ES"/>
              </w:rPr>
              <w:t xml:space="preserve"> </w:t>
            </w:r>
            <w:r w:rsidR="00A617D1" w:rsidRPr="001E0D64">
              <w:rPr>
                <w:rFonts w:asciiTheme="minorHAnsi" w:hAnsiTheme="minorHAnsi" w:cs="Times New Roman"/>
                <w:bCs/>
                <w:lang w:val="es-ES"/>
              </w:rPr>
              <w:t xml:space="preserve">              </w:t>
            </w:r>
          </w:p>
          <w:p w:rsidR="00A617D1" w:rsidRPr="001E0D64" w:rsidRDefault="00A617D1" w:rsidP="00EC32BF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cs="Times New Roman"/>
                <w:sz w:val="24"/>
                <w:szCs w:val="24"/>
                <w:lang w:val="es-ES"/>
              </w:rPr>
            </w:pPr>
          </w:p>
          <w:p w:rsidR="00A617D1" w:rsidRPr="001E0D64" w:rsidRDefault="00991C9B" w:rsidP="00EC32BF">
            <w:pPr>
              <w:pBdr>
                <w:bottom w:val="single" w:sz="6" w:space="4" w:color="E5E4E4"/>
              </w:pBdr>
              <w:shd w:val="clear" w:color="auto" w:fill="FFFFFF"/>
              <w:outlineLvl w:val="1"/>
              <w:rPr>
                <w:rFonts w:cs="Times New Roman"/>
                <w:color w:val="FF0000"/>
                <w:sz w:val="24"/>
                <w:szCs w:val="24"/>
                <w:lang w:val="es-ES"/>
              </w:rPr>
            </w:pPr>
            <w:r w:rsidRPr="001E0D64">
              <w:rPr>
                <w:rFonts w:cs="Times New Roman"/>
                <w:color w:val="FF0000"/>
                <w:sz w:val="24"/>
                <w:szCs w:val="24"/>
                <w:lang w:val="es-ES"/>
              </w:rPr>
              <w:t>En grados anteriores</w:t>
            </w:r>
            <w:r w:rsidR="00D862F7" w:rsidRPr="001E0D64">
              <w:rPr>
                <w:rFonts w:cs="Times New Roman"/>
                <w:color w:val="FF0000"/>
                <w:sz w:val="24"/>
                <w:szCs w:val="24"/>
                <w:lang w:val="es-ES"/>
              </w:rPr>
              <w:t xml:space="preserve"> (</w:t>
            </w:r>
            <w:r w:rsidR="007A2EB0" w:rsidRPr="001E0D64">
              <w:rPr>
                <w:rFonts w:cs="Times New Roman"/>
                <w:color w:val="FF0000"/>
                <w:sz w:val="24"/>
                <w:szCs w:val="24"/>
                <w:lang w:val="es-ES"/>
              </w:rPr>
              <w:t xml:space="preserve">TK, </w:t>
            </w:r>
            <w:r w:rsidR="00D862F7" w:rsidRPr="001E0D64">
              <w:rPr>
                <w:rFonts w:cs="Times New Roman"/>
                <w:color w:val="FF0000"/>
                <w:sz w:val="24"/>
                <w:szCs w:val="24"/>
                <w:lang w:val="es-ES"/>
              </w:rPr>
              <w:t>K)</w:t>
            </w:r>
            <w:r w:rsidR="00A617D1" w:rsidRPr="001E0D64">
              <w:rPr>
                <w:rFonts w:cs="Times New Roman"/>
                <w:color w:val="FF0000"/>
                <w:sz w:val="24"/>
                <w:szCs w:val="24"/>
                <w:lang w:val="es-ES"/>
              </w:rPr>
              <w:t xml:space="preserve">: </w:t>
            </w:r>
            <w:r w:rsidRPr="001E0D64">
              <w:rPr>
                <w:rFonts w:cs="Times New Roman"/>
                <w:bCs/>
                <w:color w:val="FF0000"/>
                <w:sz w:val="24"/>
                <w:szCs w:val="24"/>
                <w:lang w:val="es-ES"/>
              </w:rPr>
              <w:t>círculo, rectángulo, hexágono, esfera.</w:t>
            </w:r>
            <w:r w:rsidR="00A617D1" w:rsidRPr="001E0D64">
              <w:rPr>
                <w:rFonts w:cs="Times New Roman"/>
                <w:bCs/>
                <w:color w:val="FF0000"/>
                <w:sz w:val="24"/>
                <w:szCs w:val="24"/>
                <w:lang w:val="es-ES"/>
              </w:rPr>
              <w:t xml:space="preserve"> </w:t>
            </w:r>
          </w:p>
          <w:p w:rsidR="00A617D1" w:rsidRPr="00991C9B" w:rsidRDefault="00A617D1" w:rsidP="00EC32BF">
            <w:pPr>
              <w:rPr>
                <w:u w:val="single"/>
                <w:lang w:val="es-ES"/>
              </w:rPr>
            </w:pPr>
          </w:p>
        </w:tc>
      </w:tr>
    </w:tbl>
    <w:p w:rsidR="00163D51" w:rsidRPr="00991C9B" w:rsidRDefault="00991C9B">
      <w:pPr>
        <w:rPr>
          <w:sz w:val="16"/>
          <w:szCs w:val="16"/>
        </w:rPr>
      </w:pPr>
      <w:r>
        <w:rPr>
          <w:sz w:val="16"/>
          <w:szCs w:val="16"/>
        </w:rPr>
        <w:t>Trans</w:t>
      </w:r>
      <w:r w:rsidRPr="00991C9B">
        <w:rPr>
          <w:sz w:val="16"/>
          <w:szCs w:val="16"/>
        </w:rPr>
        <w:t>lated by PUSD Ed. Services – EL Department     October 2014</w:t>
      </w:r>
    </w:p>
    <w:sectPr w:rsidR="00163D51" w:rsidRPr="00991C9B" w:rsidSect="00991C9B">
      <w:pgSz w:w="15840" w:h="12240" w:orient="landscape"/>
      <w:pgMar w:top="270" w:right="270" w:bottom="54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17D1"/>
    <w:rsid w:val="00131F01"/>
    <w:rsid w:val="00163D51"/>
    <w:rsid w:val="001E0D64"/>
    <w:rsid w:val="00753956"/>
    <w:rsid w:val="007A2EB0"/>
    <w:rsid w:val="007B068A"/>
    <w:rsid w:val="007C23A7"/>
    <w:rsid w:val="007C6CE0"/>
    <w:rsid w:val="007F55AF"/>
    <w:rsid w:val="00991C9B"/>
    <w:rsid w:val="00A0481C"/>
    <w:rsid w:val="00A06478"/>
    <w:rsid w:val="00A617D1"/>
    <w:rsid w:val="00C333F4"/>
    <w:rsid w:val="00D862F7"/>
    <w:rsid w:val="00DA7627"/>
    <w:rsid w:val="00FA0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617D1"/>
    <w:pPr>
      <w:ind w:left="720"/>
      <w:contextualSpacing/>
    </w:pPr>
  </w:style>
  <w:style w:type="paragraph" w:customStyle="1" w:styleId="Default">
    <w:name w:val="Default"/>
    <w:rsid w:val="00A617D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61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17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FE3C0-B7EF-461C-B824-46D8AE7EC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cperezbarreto</dc:creator>
  <cp:keywords/>
  <dc:description/>
  <cp:lastModifiedBy>cperezbarreto</cp:lastModifiedBy>
  <cp:revision>5</cp:revision>
  <dcterms:created xsi:type="dcterms:W3CDTF">2014-10-24T15:49:00Z</dcterms:created>
  <dcterms:modified xsi:type="dcterms:W3CDTF">2014-10-24T20:52:00Z</dcterms:modified>
</cp:coreProperties>
</file>